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header2.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Title"/>
        <w:spacing w:lineRule="auto" w:line="240"/>
        <w:jc w:val="center"/>
        <w:rPr>
          <w:rFonts w:ascii="Times New Roman" w:hAnsi="Times New Roman"/>
        </w:rPr>
      </w:pPr>
      <w:bookmarkStart w:id="0" w:name="_7y1fo1a3o7wd"/>
      <w:bookmarkEnd w:id="0"/>
      <w:r>
        <w:rPr>
          <w:rFonts w:ascii="Times New Roman" w:hAnsi="Times New Roman"/>
          <w:b/>
          <w:bCs/>
          <w:sz w:val="28"/>
          <w:szCs w:val="28"/>
        </w:rPr>
        <w:t>ДОГОВОР №____________</w:t>
      </w:r>
    </w:p>
    <w:p>
      <w:pPr>
        <w:pStyle w:val="Normal"/>
        <w:spacing w:lineRule="auto" w:line="240"/>
        <w:ind w:hanging="0"/>
        <w:jc w:val="center"/>
        <w:rPr>
          <w:rFonts w:ascii="Times New Roman" w:hAnsi="Times New Roman"/>
        </w:rPr>
      </w:pPr>
      <w:r>
        <w:rPr>
          <w:rFonts w:ascii="Times New Roman" w:hAnsi="Times New Roman"/>
          <w:b/>
          <w:bCs/>
          <w:sz w:val="28"/>
          <w:szCs w:val="28"/>
        </w:rPr>
        <w:t>пользования системой сезонного водоснабжения</w:t>
      </w:r>
    </w:p>
    <w:tbl>
      <w:tblPr>
        <w:tblStyle w:val="a5"/>
        <w:tblW w:w="9640"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4820"/>
        <w:gridCol w:w="4820"/>
      </w:tblGrid>
      <w:tr>
        <w:trPr/>
        <w:tc>
          <w:tcPr>
            <w:tcW w:w="4820" w:type="dxa"/>
            <w:tcBorders/>
          </w:tcPr>
          <w:p>
            <w:pPr>
              <w:pStyle w:val="Normal"/>
              <w:widowControl w:val="false"/>
              <w:pBdr/>
              <w:spacing w:lineRule="auto" w:line="240"/>
              <w:ind w:hanging="0"/>
              <w:jc w:val="start"/>
              <w:rPr>
                <w:rFonts w:ascii="Times New Roman" w:hAnsi="Times New Roman"/>
              </w:rPr>
            </w:pPr>
            <w:r>
              <w:rPr>
                <w:rFonts w:ascii="Times New Roman" w:hAnsi="Times New Roman"/>
              </w:rPr>
              <w:t xml:space="preserve">Ленинградская область, </w:t>
            </w:r>
          </w:p>
          <w:p>
            <w:pPr>
              <w:pStyle w:val="Normal"/>
              <w:widowControl w:val="false"/>
              <w:pBdr/>
              <w:spacing w:lineRule="auto" w:line="240"/>
              <w:ind w:hanging="0"/>
              <w:jc w:val="start"/>
              <w:rPr>
                <w:rFonts w:ascii="Times New Roman" w:hAnsi="Times New Roman"/>
              </w:rPr>
            </w:pPr>
            <w:r>
              <w:rPr>
                <w:rFonts w:ascii="Times New Roman" w:hAnsi="Times New Roman"/>
              </w:rPr>
              <w:t>Всеволожский район, массив Васкелово,</w:t>
            </w:r>
          </w:p>
          <w:p>
            <w:pPr>
              <w:pStyle w:val="Normal"/>
              <w:widowControl w:val="false"/>
              <w:pBdr/>
              <w:spacing w:lineRule="auto" w:line="240"/>
              <w:ind w:hanging="0"/>
              <w:jc w:val="start"/>
              <w:rPr>
                <w:rFonts w:ascii="Times New Roman" w:hAnsi="Times New Roman"/>
              </w:rPr>
            </w:pPr>
            <w:r>
              <w:rPr>
                <w:rFonts w:ascii="Times New Roman" w:hAnsi="Times New Roman"/>
              </w:rPr>
              <w:t>СНТ «Васкелово-Телевидение»</w:t>
            </w:r>
          </w:p>
        </w:tc>
        <w:tc>
          <w:tcPr>
            <w:tcW w:w="4820" w:type="dxa"/>
            <w:tcBorders/>
          </w:tcPr>
          <w:p>
            <w:pPr>
              <w:pStyle w:val="Normal"/>
              <w:widowControl w:val="false"/>
              <w:pBdr/>
              <w:spacing w:lineRule="auto" w:line="240"/>
              <w:ind w:hanging="0"/>
              <w:jc w:val="end"/>
              <w:rPr>
                <w:rFonts w:ascii="Times New Roman" w:hAnsi="Times New Roman"/>
              </w:rPr>
            </w:pPr>
            <w:r>
              <w:rPr>
                <w:rFonts w:ascii="Times New Roman" w:hAnsi="Times New Roman"/>
              </w:rPr>
            </w:r>
          </w:p>
          <w:p>
            <w:pPr>
              <w:pStyle w:val="Normal"/>
              <w:widowControl w:val="false"/>
              <w:pBdr/>
              <w:spacing w:lineRule="auto" w:line="240"/>
              <w:ind w:hanging="0"/>
              <w:jc w:val="end"/>
              <w:rPr>
                <w:rFonts w:ascii="Times New Roman" w:hAnsi="Times New Roman"/>
              </w:rPr>
            </w:pPr>
            <w:r>
              <w:rPr>
                <w:rFonts w:ascii="Times New Roman" w:hAnsi="Times New Roman"/>
              </w:rPr>
              <w:t>«__ » _______________ 20__ г.</w:t>
            </w:r>
          </w:p>
        </w:tc>
      </w:tr>
    </w:tbl>
    <w:p>
      <w:pPr>
        <w:pStyle w:val="Normal"/>
        <w:spacing w:lineRule="auto" w:line="240"/>
        <w:ind w:hanging="0"/>
        <w:rPr>
          <w:rFonts w:ascii="Times New Roman" w:hAnsi="Times New Roman"/>
        </w:rPr>
      </w:pPr>
      <w:r>
        <w:rPr>
          <w:rFonts w:ascii="Times New Roman" w:hAnsi="Times New Roman"/>
        </w:rPr>
      </w:r>
    </w:p>
    <w:p>
      <w:pPr>
        <w:pStyle w:val="Normal"/>
        <w:spacing w:lineRule="auto" w:line="240"/>
        <w:rPr>
          <w:rFonts w:ascii="Times New Roman" w:hAnsi="Times New Roman"/>
        </w:rPr>
      </w:pPr>
      <w:r>
        <w:rPr>
          <w:rFonts w:ascii="Times New Roman" w:hAnsi="Times New Roman"/>
          <w:b/>
          <w:bCs/>
        </w:rPr>
        <w:t>Садоводческое некоммерческое товарищество</w:t>
      </w:r>
      <w:r>
        <w:rPr>
          <w:rFonts w:ascii="Times New Roman" w:hAnsi="Times New Roman"/>
        </w:rPr>
        <w:t xml:space="preserve"> «Васкелово-Телевидение», в лице председателя Григорьева Александра Владимировича, действующего на основании Устава, именуемое в дальнейшем «Товарищество», с одной стороны, и</w:t>
      </w:r>
    </w:p>
    <w:p>
      <w:pPr>
        <w:pStyle w:val="Normal"/>
        <w:spacing w:lineRule="auto" w:line="240"/>
        <w:rPr>
          <w:rFonts w:ascii="Times New Roman" w:hAnsi="Times New Roman"/>
        </w:rPr>
      </w:pPr>
      <w:r>
        <w:rPr>
          <w:rFonts w:ascii="Times New Roman" w:hAnsi="Times New Roman"/>
          <w:b/>
          <w:bCs/>
        </w:rPr>
        <w:t>гражданин Российской Федерации</w:t>
      </w:r>
      <w:r>
        <w:rPr>
          <w:rFonts w:eastAsia="Cousine" w:cs="Cousine" w:ascii="Times New Roman" w:hAnsi="Times New Roman"/>
        </w:rPr>
        <w:t xml:space="preserve"> </w:t>
      </w:r>
      <w:r>
        <w:rPr>
          <w:rFonts w:ascii="Times New Roman" w:hAnsi="Times New Roman"/>
        </w:rPr>
        <w:t xml:space="preserve">________________________, паспорт: серия _____ № _____ , зарегистрированный по адресу: ____________________, являющийся собственником земельного участка №___, кадастровый номер ____________________________, а также лицом участвовавшим в финансировании строительства Системы водоснабжения, либо внесшим взнос за подключение к Системе водоснабжения, либо лицом, к которому право пользования Системой водоснабжения перешло в порядке правопреемства, именуемый в дальнейшем «Пользователь», </w:t>
      </w:r>
    </w:p>
    <w:p>
      <w:pPr>
        <w:pStyle w:val="Normal"/>
        <w:spacing w:lineRule="auto" w:line="240"/>
        <w:rPr>
          <w:rFonts w:ascii="Times New Roman" w:hAnsi="Times New Roman"/>
        </w:rPr>
      </w:pPr>
      <w:r>
        <w:rPr>
          <w:rFonts w:ascii="Times New Roman" w:hAnsi="Times New Roman"/>
        </w:rPr>
        <w:t>совместно именуемые «Стороны», заключили настоящий договор о нижеследующем.</w:t>
      </w:r>
    </w:p>
    <w:p>
      <w:pPr>
        <w:pStyle w:val="Heading1"/>
        <w:rPr>
          <w:rFonts w:ascii="Times New Roman" w:hAnsi="Times New Roman"/>
        </w:rPr>
      </w:pPr>
      <w:bookmarkStart w:id="1" w:name="_4yzplgcru6b"/>
      <w:bookmarkEnd w:id="1"/>
      <w:r>
        <w:rPr>
          <w:rFonts w:ascii="Times New Roman" w:hAnsi="Times New Roman"/>
        </w:rPr>
        <w:t>1. Термины и определения</w:t>
      </w:r>
    </w:p>
    <w:p>
      <w:pPr>
        <w:pStyle w:val="Normal"/>
        <w:spacing w:lineRule="auto" w:line="240"/>
        <w:rPr>
          <w:rFonts w:ascii="Times New Roman" w:hAnsi="Times New Roman"/>
        </w:rPr>
      </w:pPr>
      <w:r>
        <w:rPr>
          <w:rFonts w:ascii="Times New Roman" w:hAnsi="Times New Roman"/>
        </w:rPr>
        <w:t>1.1. Для целей настоящего договора нижеприведенные термины используются в следующем значении:</w:t>
      </w:r>
    </w:p>
    <w:p>
      <w:pPr>
        <w:pStyle w:val="Normal"/>
        <w:spacing w:lineRule="auto" w:line="240"/>
        <w:rPr>
          <w:rFonts w:ascii="Times New Roman" w:hAnsi="Times New Roman"/>
        </w:rPr>
      </w:pPr>
      <w:r>
        <w:rPr>
          <w:rFonts w:ascii="Times New Roman" w:hAnsi="Times New Roman"/>
        </w:rPr>
        <w:t>«Система водоснабжения» – комплекс объектов инженерной инфраструктуры, предназначенных для осуществления сезонной подачи воды, включая скважину, насосное оборудование, магистральные и распределительные трубопроводы, запорную арматуру, приборы контроля и иные технологически связанные объекты.</w:t>
      </w:r>
    </w:p>
    <w:p>
      <w:pPr>
        <w:pStyle w:val="Normal"/>
        <w:spacing w:lineRule="auto" w:line="240"/>
        <w:rPr>
          <w:rFonts w:ascii="Times New Roman" w:hAnsi="Times New Roman"/>
        </w:rPr>
      </w:pPr>
      <w:r>
        <w:rPr>
          <w:rFonts w:ascii="Times New Roman" w:hAnsi="Times New Roman"/>
        </w:rPr>
        <w:t>«Граница эксплуатационной ответственности» – линия разграничения обязанностей Сторон по содержанию, обслуживанию и эксплуатации объектов инженерной инфраструктуры.</w:t>
      </w:r>
    </w:p>
    <w:p>
      <w:pPr>
        <w:pStyle w:val="Normal"/>
        <w:spacing w:lineRule="auto" w:line="240"/>
        <w:rPr>
          <w:rFonts w:ascii="Times New Roman" w:hAnsi="Times New Roman"/>
        </w:rPr>
      </w:pPr>
      <w:r>
        <w:rPr>
          <w:rFonts w:ascii="Times New Roman" w:hAnsi="Times New Roman"/>
        </w:rPr>
        <w:t>«Период эксплуатации» – временной период сезонного функционирования Системы водоснабжения, определяемый Товариществом с учетом климатических условий, технического состояния оборудования и уровня водозабора.</w:t>
      </w:r>
    </w:p>
    <w:p>
      <w:pPr>
        <w:pStyle w:val="Normal"/>
        <w:spacing w:lineRule="auto" w:line="240"/>
        <w:rPr>
          <w:rFonts w:ascii="Times New Roman" w:hAnsi="Times New Roman"/>
        </w:rPr>
      </w:pPr>
      <w:r>
        <w:rPr>
          <w:rFonts w:ascii="Times New Roman" w:hAnsi="Times New Roman"/>
        </w:rPr>
        <w:t>«Внутреучастковая сеть» – совокупность трубопроводов, оборудования и устройств, расположенных после Точки подключения в пределах земельного участка Пользователя.</w:t>
      </w:r>
    </w:p>
    <w:p>
      <w:pPr>
        <w:pStyle w:val="Heading1"/>
        <w:rPr>
          <w:rFonts w:ascii="Times New Roman" w:hAnsi="Times New Roman"/>
        </w:rPr>
      </w:pPr>
      <w:bookmarkStart w:id="2" w:name="_f469bi0irpb"/>
      <w:bookmarkEnd w:id="2"/>
      <w:r>
        <w:rPr>
          <w:rFonts w:ascii="Times New Roman" w:hAnsi="Times New Roman"/>
        </w:rPr>
        <w:t>2. Основные положения</w:t>
      </w:r>
    </w:p>
    <w:p>
      <w:pPr>
        <w:pStyle w:val="Normal"/>
        <w:spacing w:lineRule="auto" w:line="240"/>
        <w:rPr>
          <w:rFonts w:ascii="Times New Roman" w:hAnsi="Times New Roman"/>
        </w:rPr>
      </w:pPr>
      <w:r>
        <w:rPr>
          <w:rFonts w:ascii="Times New Roman" w:hAnsi="Times New Roman"/>
        </w:rPr>
        <w:t>2.1. Товарищество обязуется в течение Периода эксплуатации обеспечивать Пользователю возможность использования Системы водоснабжения путем подачи воды до Границы эксплуатационной ответственности, а Пользователь обязуется соблюдать условия эксплуатации Системы водоснабжения, своевременно осуществлять предусмотренные настоящим договором платежи, обеспечивать надлежащее техническое состояние Внутреучастковой сети.</w:t>
      </w:r>
    </w:p>
    <w:p>
      <w:pPr>
        <w:pStyle w:val="Normal"/>
        <w:spacing w:lineRule="auto" w:line="240"/>
        <w:rPr>
          <w:rFonts w:ascii="Times New Roman" w:hAnsi="Times New Roman"/>
        </w:rPr>
      </w:pPr>
      <w:r>
        <w:rPr>
          <w:rFonts w:ascii="Times New Roman" w:hAnsi="Times New Roman"/>
        </w:rPr>
        <w:t>2.2. Подача воды осуществляется исключительно для хозяйственно-бытового использования в границах земельного участка Пользователя.</w:t>
      </w:r>
    </w:p>
    <w:p>
      <w:pPr>
        <w:pStyle w:val="Normal"/>
        <w:spacing w:lineRule="auto" w:line="240"/>
        <w:rPr>
          <w:rFonts w:ascii="Times New Roman" w:hAnsi="Times New Roman"/>
        </w:rPr>
      </w:pPr>
      <w:r>
        <w:rPr>
          <w:rFonts w:ascii="Times New Roman" w:hAnsi="Times New Roman"/>
        </w:rPr>
        <w:t>2.3. Товарищество обеспечивает качество воды, подаваемой посредством Системы водоснабжения, в пределах требований санитарного законодательства Российской Федерации, применимых к воде хозяйственно-бытового назначения, при условии исправного состояния Системы водоснабжения и соблюдения Пользователем правил эксплуатации Внутреучастковой сети. Контроль качества воды осуществляется Товариществом в случаях и объеме, предусмотренных законодательством Российской Федерации и условиями лицензии на пользование недрами. Товарищество не несет ответственности за ухудшение качества воды, возникшее во Внутреучастковой сети Пользователя.</w:t>
      </w:r>
    </w:p>
    <w:p>
      <w:pPr>
        <w:pStyle w:val="Normal"/>
        <w:spacing w:lineRule="auto" w:line="240"/>
        <w:rPr>
          <w:rFonts w:ascii="Times New Roman" w:hAnsi="Times New Roman"/>
        </w:rPr>
      </w:pPr>
      <w:r>
        <w:rPr>
          <w:rFonts w:ascii="Times New Roman" w:hAnsi="Times New Roman"/>
        </w:rPr>
        <w:t>2.4. Товарищество осуществляет эксплуатацию Системы водоснабжения, являющееся лицом, на которое оформлены проектная, разрешительная и иная техническая документация, лицензия, а также несет обязательства по соблюдению санитарных, экологических и эксплуатационных требований. Согласно Лицензии на пользование недрами Комитета по природным ресурсам Ленинградской области серия ЛОД №48343 ВЭ от 17.05.2021 года (срок действия до 14.05.2046 года), расположенным по адресу: Ленинградская область, Всеволожский район , массив Васкелово, СНТ «Васкелово-Телевидение», кадастровый номер земельного участка 47:07:0000000:421. Водопроводный комплекс состоит из:</w:t>
      </w:r>
    </w:p>
    <w:p>
      <w:pPr>
        <w:pStyle w:val="Normal"/>
        <w:spacing w:lineRule="auto" w:line="240"/>
        <w:rPr>
          <w:rFonts w:ascii="Times New Roman" w:hAnsi="Times New Roman"/>
        </w:rPr>
      </w:pPr>
      <w:r>
        <w:rPr>
          <w:rFonts w:ascii="Times New Roman" w:hAnsi="Times New Roman"/>
        </w:rPr>
        <w:t xml:space="preserve">– </w:t>
      </w:r>
      <w:r>
        <w:rPr>
          <w:rFonts w:ascii="Times New Roman" w:hAnsi="Times New Roman"/>
        </w:rPr>
        <w:t>участка 10х8 м с расположенном на нем строением, внутри которого находятся обустроенная водозаборная скважина (глубина 195 метров, заявленная потребность 99 м³/сут. на хозяйственно-бытовое водоснабжение), погружной и наружный насос, промежуточный гидроаккумулирующий бак, компьютерный пост автоматического управления, узлы автоматики, приборы учета водопотребления и электроэнергии, два накопительных расходных бака емкостью по 10 м³ каждый;</w:t>
      </w:r>
    </w:p>
    <w:p>
      <w:pPr>
        <w:pStyle w:val="Normal"/>
        <w:spacing w:lineRule="auto" w:line="240"/>
        <w:rPr>
          <w:rFonts w:ascii="Times New Roman" w:hAnsi="Times New Roman"/>
        </w:rPr>
      </w:pPr>
      <w:r>
        <w:rPr>
          <w:rFonts w:ascii="Times New Roman" w:hAnsi="Times New Roman"/>
        </w:rPr>
        <w:t xml:space="preserve">– </w:t>
      </w:r>
      <w:r>
        <w:rPr>
          <w:rFonts w:ascii="Times New Roman" w:hAnsi="Times New Roman"/>
        </w:rPr>
        <w:t>огражденная прилегающая территория, относящаяся к зоне санитарной охраны водозаборных сооружений;</w:t>
      </w:r>
    </w:p>
    <w:p>
      <w:pPr>
        <w:pStyle w:val="Normal"/>
        <w:spacing w:lineRule="auto" w:line="240"/>
        <w:rPr>
          <w:rFonts w:ascii="Times New Roman" w:hAnsi="Times New Roman"/>
        </w:rPr>
      </w:pPr>
      <w:r>
        <w:rPr>
          <w:rFonts w:ascii="Times New Roman" w:hAnsi="Times New Roman"/>
        </w:rPr>
        <w:t xml:space="preserve">– </w:t>
      </w:r>
      <w:r>
        <w:rPr>
          <w:rFonts w:ascii="Times New Roman" w:hAnsi="Times New Roman"/>
        </w:rPr>
        <w:t>сети сезонного водопровода, расположенные на землях общего пользования и предназначенные для подачи воды Пользователям.</w:t>
      </w:r>
    </w:p>
    <w:p>
      <w:pPr>
        <w:pStyle w:val="Normal"/>
        <w:spacing w:lineRule="auto" w:line="240"/>
        <w:rPr>
          <w:rFonts w:ascii="Times New Roman" w:hAnsi="Times New Roman"/>
        </w:rPr>
      </w:pPr>
      <w:r>
        <w:rPr>
          <w:rFonts w:ascii="Times New Roman" w:hAnsi="Times New Roman"/>
        </w:rPr>
        <w:t xml:space="preserve">2.5. </w:t>
        <w:tab/>
        <w:t>Право на заключение настоящего договора предоставляется исключительно:</w:t>
      </w:r>
    </w:p>
    <w:p>
      <w:pPr>
        <w:pStyle w:val="Normal"/>
        <w:spacing w:lineRule="auto" w:line="240"/>
        <w:rPr>
          <w:rFonts w:ascii="Times New Roman" w:hAnsi="Times New Roman"/>
        </w:rPr>
      </w:pPr>
      <w:r>
        <w:rPr>
          <w:rFonts w:ascii="Times New Roman" w:hAnsi="Times New Roman"/>
        </w:rPr>
        <w:t>а) лицам, принимавшим участие в финансировании строительства Системы водоснабжения;</w:t>
      </w:r>
    </w:p>
    <w:p>
      <w:pPr>
        <w:pStyle w:val="Normal"/>
        <w:spacing w:lineRule="auto" w:line="240"/>
        <w:rPr>
          <w:rFonts w:ascii="Times New Roman" w:hAnsi="Times New Roman"/>
        </w:rPr>
      </w:pPr>
      <w:r>
        <w:rPr>
          <w:rFonts w:ascii="Times New Roman" w:hAnsi="Times New Roman"/>
        </w:rPr>
        <w:t>б) лицам, внесшим взнос за подключение к Системе водоснабжения;</w:t>
      </w:r>
    </w:p>
    <w:p>
      <w:pPr>
        <w:pStyle w:val="Normal"/>
        <w:spacing w:lineRule="auto" w:line="240"/>
        <w:rPr>
          <w:rFonts w:ascii="Times New Roman" w:hAnsi="Times New Roman"/>
        </w:rPr>
      </w:pPr>
      <w:r>
        <w:rPr>
          <w:rFonts w:ascii="Times New Roman" w:hAnsi="Times New Roman"/>
        </w:rPr>
        <w:t>в) лицам, к котороым право пользования Системой водоснабжения перешло в порядке правопреемства.</w:t>
      </w:r>
    </w:p>
    <w:p>
      <w:pPr>
        <w:pStyle w:val="Heading1"/>
        <w:rPr>
          <w:rFonts w:ascii="Times New Roman" w:hAnsi="Times New Roman"/>
        </w:rPr>
      </w:pPr>
      <w:bookmarkStart w:id="3" w:name="_9sgw2gquh5z0"/>
      <w:bookmarkEnd w:id="3"/>
      <w:r>
        <w:rPr>
          <w:rFonts w:ascii="Times New Roman" w:hAnsi="Times New Roman"/>
        </w:rPr>
        <w:t>3. Периоды и режим эксплуатации</w:t>
      </w:r>
    </w:p>
    <w:p>
      <w:pPr>
        <w:pStyle w:val="Normal"/>
        <w:spacing w:lineRule="auto" w:line="240"/>
        <w:rPr>
          <w:rFonts w:ascii="Times New Roman" w:hAnsi="Times New Roman"/>
        </w:rPr>
      </w:pPr>
      <w:r>
        <w:rPr>
          <w:rFonts w:ascii="Times New Roman" w:hAnsi="Times New Roman"/>
        </w:rPr>
        <w:t>3.1. Период эксплуатации устанавливается ежегодно решением правления Товарищества, как правило, в сроках с 1 мая по 31 октября.</w:t>
      </w:r>
    </w:p>
    <w:p>
      <w:pPr>
        <w:pStyle w:val="Normal"/>
        <w:spacing w:lineRule="auto" w:line="240"/>
        <w:rPr>
          <w:rFonts w:ascii="Times New Roman" w:hAnsi="Times New Roman"/>
        </w:rPr>
      </w:pPr>
      <w:r>
        <w:rPr>
          <w:rFonts w:ascii="Times New Roman" w:hAnsi="Times New Roman"/>
        </w:rPr>
        <w:t>3.2. Товарищество вправе временно ограничить либо приостановить подачу воды в следующих случаях:</w:t>
      </w:r>
    </w:p>
    <w:p>
      <w:pPr>
        <w:pStyle w:val="Normal"/>
        <w:spacing w:lineRule="auto" w:line="240"/>
        <w:rPr>
          <w:rFonts w:ascii="Times New Roman" w:hAnsi="Times New Roman"/>
        </w:rPr>
      </w:pPr>
      <w:r>
        <w:rPr>
          <w:rFonts w:ascii="Times New Roman" w:hAnsi="Times New Roman"/>
        </w:rPr>
        <w:t>а) проведение плановых либо аварийных ремонтных работ;</w:t>
      </w:r>
    </w:p>
    <w:p>
      <w:pPr>
        <w:pStyle w:val="Normal"/>
        <w:spacing w:lineRule="auto" w:line="240"/>
        <w:rPr>
          <w:rFonts w:ascii="Times New Roman" w:hAnsi="Times New Roman"/>
        </w:rPr>
      </w:pPr>
      <w:r>
        <w:rPr>
          <w:rFonts w:ascii="Times New Roman" w:hAnsi="Times New Roman"/>
        </w:rPr>
        <w:t>б) возникновение угрозы повреждения Системы водоснабжения;</w:t>
      </w:r>
    </w:p>
    <w:p>
      <w:pPr>
        <w:pStyle w:val="Normal"/>
        <w:spacing w:lineRule="auto" w:line="240"/>
        <w:rPr>
          <w:rFonts w:ascii="Times New Roman" w:hAnsi="Times New Roman"/>
        </w:rPr>
      </w:pPr>
      <w:r>
        <w:rPr>
          <w:rFonts w:ascii="Times New Roman" w:hAnsi="Times New Roman"/>
        </w:rPr>
        <w:t>в) снижение дебита скважины;</w:t>
      </w:r>
    </w:p>
    <w:p>
      <w:pPr>
        <w:pStyle w:val="Normal"/>
        <w:spacing w:lineRule="auto" w:line="240"/>
        <w:rPr>
          <w:rFonts w:ascii="Times New Roman" w:hAnsi="Times New Roman"/>
        </w:rPr>
      </w:pPr>
      <w:r>
        <w:rPr>
          <w:rFonts w:ascii="Times New Roman" w:hAnsi="Times New Roman"/>
        </w:rPr>
        <w:t>г) отключение электроснабжения;</w:t>
      </w:r>
    </w:p>
    <w:p>
      <w:pPr>
        <w:pStyle w:val="Normal"/>
        <w:spacing w:lineRule="auto" w:line="240"/>
        <w:rPr>
          <w:rFonts w:ascii="Times New Roman" w:hAnsi="Times New Roman"/>
        </w:rPr>
      </w:pPr>
      <w:r>
        <w:rPr>
          <w:rFonts w:ascii="Times New Roman" w:hAnsi="Times New Roman"/>
        </w:rPr>
        <w:t>д) нарушение Пользователем условий настоящего договора;</w:t>
      </w:r>
    </w:p>
    <w:p>
      <w:pPr>
        <w:pStyle w:val="Normal"/>
        <w:spacing w:lineRule="auto" w:line="240"/>
        <w:rPr>
          <w:rFonts w:ascii="Times New Roman" w:hAnsi="Times New Roman"/>
        </w:rPr>
      </w:pPr>
      <w:r>
        <w:rPr>
          <w:rFonts w:ascii="Times New Roman" w:hAnsi="Times New Roman"/>
        </w:rPr>
        <w:t>е) наступление обстоятельств непреодолимой силы.</w:t>
      </w:r>
    </w:p>
    <w:p>
      <w:pPr>
        <w:pStyle w:val="Normal"/>
        <w:spacing w:lineRule="auto" w:line="240"/>
        <w:rPr>
          <w:rFonts w:ascii="Times New Roman" w:hAnsi="Times New Roman"/>
        </w:rPr>
      </w:pPr>
      <w:r>
        <w:rPr>
          <w:rFonts w:ascii="Times New Roman" w:hAnsi="Times New Roman"/>
        </w:rPr>
        <w:t>3.3. Информация о планируемом ограничении подачи воды размещается не позднее чем за 2 календарных дня до даты ограничения на информационном стенде Товарищества, посредством электронных средств связи или иным способом, обычно используемым Товариществом, за исключением случаев аварий, угрозы повреждения Системы водоснабжения либо иных обстоятельств, требующих незамедлительного ограничения или прекращения подачи воды.</w:t>
      </w:r>
    </w:p>
    <w:p>
      <w:pPr>
        <w:pStyle w:val="Heading1"/>
        <w:rPr>
          <w:rFonts w:ascii="Times New Roman" w:hAnsi="Times New Roman"/>
        </w:rPr>
      </w:pPr>
      <w:bookmarkStart w:id="4" w:name="_b05xn4n3vut1"/>
      <w:bookmarkEnd w:id="4"/>
      <w:r>
        <w:rPr>
          <w:rFonts w:ascii="Times New Roman" w:hAnsi="Times New Roman"/>
        </w:rPr>
        <w:t>4. Граница эксплуатационной ответственности</w:t>
      </w:r>
    </w:p>
    <w:p>
      <w:pPr>
        <w:pStyle w:val="Normal"/>
        <w:spacing w:lineRule="auto" w:line="240"/>
        <w:rPr>
          <w:rFonts w:ascii="Times New Roman" w:hAnsi="Times New Roman"/>
        </w:rPr>
      </w:pPr>
      <w:r>
        <w:rPr>
          <w:rFonts w:ascii="Times New Roman" w:hAnsi="Times New Roman"/>
        </w:rPr>
        <w:t>4.1. Товарищество несёт ответственность за техническое состояние Системы водоснабжения до Границы эксплуатационной ответственности.</w:t>
      </w:r>
    </w:p>
    <w:p>
      <w:pPr>
        <w:pStyle w:val="Normal"/>
        <w:spacing w:lineRule="auto" w:line="240"/>
        <w:rPr>
          <w:rFonts w:ascii="Times New Roman" w:hAnsi="Times New Roman"/>
        </w:rPr>
      </w:pPr>
      <w:r>
        <w:rPr>
          <w:rFonts w:ascii="Times New Roman" w:hAnsi="Times New Roman"/>
        </w:rPr>
        <w:t>4.2. Пользователь несет ответственность за эксплуатацию и техническое состояние Внутреучастковой сети.</w:t>
      </w:r>
    </w:p>
    <w:p>
      <w:pPr>
        <w:pStyle w:val="Normal"/>
        <w:spacing w:lineRule="auto" w:line="240"/>
        <w:rPr>
          <w:rFonts w:ascii="Times New Roman" w:hAnsi="Times New Roman"/>
        </w:rPr>
      </w:pPr>
      <w:r>
        <w:rPr>
          <w:rFonts w:ascii="Times New Roman" w:hAnsi="Times New Roman"/>
        </w:rPr>
        <w:t>4.3. Границей эксплуатационной ответственности Сторон является точка подключения Внутреучастковой сети Пользователя к распределительной сети Системы водоснабжения.</w:t>
      </w:r>
    </w:p>
    <w:p>
      <w:pPr>
        <w:pStyle w:val="Heading1"/>
        <w:rPr>
          <w:rFonts w:ascii="Times New Roman" w:hAnsi="Times New Roman"/>
        </w:rPr>
      </w:pPr>
      <w:bookmarkStart w:id="5" w:name="_16fbmy9dche8"/>
      <w:bookmarkEnd w:id="5"/>
      <w:r>
        <w:rPr>
          <w:rFonts w:ascii="Times New Roman" w:hAnsi="Times New Roman"/>
        </w:rPr>
        <w:t>5. Порядок подключения</w:t>
      </w:r>
    </w:p>
    <w:p>
      <w:pPr>
        <w:pStyle w:val="Normal"/>
        <w:spacing w:lineRule="auto" w:line="240"/>
        <w:rPr>
          <w:rFonts w:ascii="Times New Roman" w:hAnsi="Times New Roman"/>
        </w:rPr>
      </w:pPr>
      <w:r>
        <w:rPr>
          <w:rFonts w:ascii="Times New Roman" w:hAnsi="Times New Roman"/>
        </w:rPr>
        <w:t>5.1. Подключение к Системе водоснабжения осуществляется исключительно с письменного согласия Товарищества.</w:t>
      </w:r>
    </w:p>
    <w:p>
      <w:pPr>
        <w:pStyle w:val="Normal"/>
        <w:spacing w:lineRule="auto" w:line="240"/>
        <w:rPr>
          <w:rFonts w:ascii="Times New Roman" w:hAnsi="Times New Roman"/>
        </w:rPr>
      </w:pPr>
      <w:r>
        <w:rPr>
          <w:rFonts w:ascii="Times New Roman" w:hAnsi="Times New Roman"/>
        </w:rPr>
        <w:t>5.2. Работы по подключению выполняются лицами, допущенными Товариществом к производству соответствующих работ.</w:t>
      </w:r>
    </w:p>
    <w:p>
      <w:pPr>
        <w:pStyle w:val="Normal"/>
        <w:spacing w:lineRule="auto" w:line="240"/>
        <w:rPr>
          <w:rFonts w:ascii="Times New Roman" w:hAnsi="Times New Roman"/>
        </w:rPr>
      </w:pPr>
      <w:r>
        <w:rPr>
          <w:rFonts w:ascii="Times New Roman" w:hAnsi="Times New Roman"/>
        </w:rPr>
        <w:t xml:space="preserve">5.3. Самовольное подключение к Системе водоснабжения, изменение схемы подключения, передача воды третьим лицам, а также вмешательство в работу Системы водоснабжения без письменного согласия Товарищества не допускаются.  </w:t>
      </w:r>
    </w:p>
    <w:p>
      <w:pPr>
        <w:pStyle w:val="Normal"/>
        <w:spacing w:lineRule="auto" w:line="240"/>
        <w:rPr>
          <w:rFonts w:ascii="Times New Roman" w:hAnsi="Times New Roman"/>
        </w:rPr>
      </w:pPr>
      <w:r>
        <w:rPr>
          <w:rFonts w:ascii="Times New Roman" w:hAnsi="Times New Roman"/>
        </w:rPr>
        <w:t>Ответственность за самовольное подключение регулируется п. 7.4 и 7.5 настоящего Договора.</w:t>
      </w:r>
    </w:p>
    <w:p>
      <w:pPr>
        <w:pStyle w:val="Normal"/>
        <w:spacing w:lineRule="auto" w:line="240"/>
        <w:rPr>
          <w:rFonts w:ascii="Times New Roman" w:hAnsi="Times New Roman"/>
        </w:rPr>
      </w:pPr>
      <w:r>
        <w:rPr>
          <w:rFonts w:ascii="Times New Roman" w:hAnsi="Times New Roman"/>
        </w:rPr>
      </w:r>
    </w:p>
    <w:p>
      <w:pPr>
        <w:pStyle w:val="Heading1"/>
        <w:pBdr/>
        <w:rPr>
          <w:rFonts w:ascii="Times New Roman" w:hAnsi="Times New Roman"/>
        </w:rPr>
      </w:pPr>
      <w:bookmarkStart w:id="6" w:name="_9991x4hp6qyt"/>
      <w:bookmarkEnd w:id="6"/>
      <w:r>
        <w:rPr>
          <w:rFonts w:ascii="Times New Roman" w:hAnsi="Times New Roman"/>
        </w:rPr>
        <w:t>6. Платежи и порядок их определения</w:t>
      </w:r>
    </w:p>
    <w:p>
      <w:pPr>
        <w:pStyle w:val="Normal"/>
        <w:rPr>
          <w:rFonts w:ascii="Times New Roman" w:hAnsi="Times New Roman"/>
        </w:rPr>
      </w:pPr>
      <w:r>
        <w:rPr>
          <w:rFonts w:ascii="Times New Roman" w:hAnsi="Times New Roman"/>
        </w:rPr>
        <w:t>6.1. Пользователь обязан ежегодно вносить плату за эксплуатацию, содержание и текущее обслуживание Системы водоснабжения в порядке и сроки, установленные Товариществом.</w:t>
      </w:r>
    </w:p>
    <w:p>
      <w:pPr>
        <w:pStyle w:val="Normal"/>
        <w:rPr>
          <w:rFonts w:ascii="Times New Roman" w:hAnsi="Times New Roman"/>
        </w:rPr>
      </w:pPr>
      <w:r>
        <w:rPr>
          <w:rFonts w:ascii="Times New Roman" w:hAnsi="Times New Roman"/>
        </w:rPr>
        <w:t>6.2. Размер платы устанавливается Правлением Товарищества на один календарный год исходя из планируемых и фактических расходов, связанных с:</w:t>
      </w:r>
    </w:p>
    <w:p>
      <w:pPr>
        <w:pStyle w:val="Normal"/>
        <w:ind w:hanging="0" w:start="720"/>
        <w:jc w:val="start"/>
        <w:rPr>
          <w:rFonts w:ascii="Times New Roman" w:hAnsi="Times New Roman"/>
        </w:rPr>
      </w:pPr>
      <w:r>
        <w:rPr>
          <w:rFonts w:ascii="Times New Roman" w:hAnsi="Times New Roman"/>
        </w:rPr>
        <w:t xml:space="preserve">– </w:t>
      </w:r>
      <w:r>
        <w:rPr>
          <w:rFonts w:ascii="Times New Roman" w:hAnsi="Times New Roman"/>
        </w:rPr>
        <w:t>эксплуатацией скважины;</w:t>
        <w:br/>
        <w:t>– оплатой электроэнергии;</w:t>
        <w:br/>
        <w:t>– техническим обслуживанием оборудования;</w:t>
        <w:br/>
        <w:t>– проведением текущих ремонтных и профилактических работ;</w:t>
        <w:br/>
        <w:t>– лабораторным контролем качества воды;</w:t>
        <w:br/>
        <w:t>– обеспечением санитарных, экологических и эксплуатационных требований;</w:t>
        <w:br/>
        <w:t>– административным сопровождением эксплуатации Системы водоснабжения;</w:t>
        <w:br/>
        <w:t>– исполнением обязательных требований законодательства Российской Федерации и условий лицензии на пользование недрами.</w:t>
      </w:r>
    </w:p>
    <w:p>
      <w:pPr>
        <w:pStyle w:val="Normal"/>
        <w:rPr>
          <w:rFonts w:ascii="Times New Roman" w:hAnsi="Times New Roman"/>
        </w:rPr>
      </w:pPr>
      <w:r>
        <w:rPr>
          <w:rFonts w:ascii="Times New Roman" w:hAnsi="Times New Roman"/>
        </w:rPr>
        <w:t>6.3. Размер платы может быть изменен Правлением Товарищества в течение периода эксплуатации, но не более чем на 10 (десять) процентов от первоначально установленного размера, в случае существенного изменения расходов, связанных с эксплуатацией Системы водоснабжения, включая изменение стоимости электроэнергии, материалов, оборудования, обязательных платежей, лабораторных исследований либо иных расходов, непосредственно влияющих на эксплуатацию Системы водоснабжения.</w:t>
      </w:r>
    </w:p>
    <w:p>
      <w:pPr>
        <w:pStyle w:val="Normal"/>
        <w:rPr>
          <w:rFonts w:ascii="Times New Roman" w:hAnsi="Times New Roman"/>
        </w:rPr>
      </w:pPr>
      <w:r>
        <w:rPr>
          <w:rFonts w:ascii="Times New Roman" w:hAnsi="Times New Roman"/>
        </w:rPr>
        <w:t>6.4. В размер платы по настоящему договору не входят расходы, связанные с капитальным ремонтом, модернизацией, реконструкцией, заменой основных элементов Системы водоснабжения, устранением последствий аварий, чрезвычайных ситуаций, действий третьих лиц, стихийных явлений, а также иные непредвиденные и значительные расходы, выходящие за пределы обычной эксплуатации и текущего содержания Системы водоснабжения.</w:t>
      </w:r>
    </w:p>
    <w:p>
      <w:pPr>
        <w:pStyle w:val="Normal"/>
        <w:rPr>
          <w:rFonts w:ascii="Times New Roman" w:hAnsi="Times New Roman"/>
        </w:rPr>
      </w:pPr>
      <w:r>
        <w:rPr>
          <w:rFonts w:ascii="Times New Roman" w:hAnsi="Times New Roman"/>
        </w:rPr>
        <w:t>6.5. Необходимость несения расходов, указанных в пункте 6.4 настоящего договора, а также порядок и размер участия Пользователей в таких расходах определяются Правлением Товарищества.</w:t>
      </w:r>
    </w:p>
    <w:p>
      <w:pPr>
        <w:pStyle w:val="Normal"/>
        <w:rPr>
          <w:rFonts w:ascii="Times New Roman" w:hAnsi="Times New Roman"/>
        </w:rPr>
      </w:pPr>
      <w:r>
        <w:rPr>
          <w:rFonts w:ascii="Times New Roman" w:hAnsi="Times New Roman"/>
        </w:rPr>
        <w:t>6.6. Платежи по настоящему договору не являются членскими взносами, целевыми взносами или тарифом на коммунальную услугу.</w:t>
      </w:r>
      <w:bookmarkStart w:id="7" w:name="_GoBack"/>
      <w:bookmarkEnd w:id="7"/>
    </w:p>
    <w:p>
      <w:pPr>
        <w:pStyle w:val="Normal"/>
        <w:rPr>
          <w:rFonts w:ascii="Times New Roman" w:hAnsi="Times New Roman"/>
        </w:rPr>
      </w:pPr>
      <w:r>
        <w:rPr>
          <w:rFonts w:ascii="Times New Roman" w:hAnsi="Times New Roman"/>
        </w:rPr>
        <w:t>6.7. Информация о размере платы и сроках её внесения доводится до Пользователей не позднее чем за 15 календарных дней до даты внесения платы посредством размещения информации на информационном стенде Товарищества, электронных средств связи либо иным способом, обычно используемым Товариществом.</w:t>
      </w:r>
    </w:p>
    <w:p>
      <w:pPr>
        <w:pStyle w:val="Heading1"/>
        <w:rPr>
          <w:rFonts w:ascii="Times New Roman" w:hAnsi="Times New Roman"/>
        </w:rPr>
      </w:pPr>
      <w:bookmarkStart w:id="8" w:name="_9w9sjrp9525j"/>
      <w:bookmarkEnd w:id="8"/>
      <w:r>
        <w:rPr>
          <w:rFonts w:ascii="Times New Roman" w:hAnsi="Times New Roman"/>
        </w:rPr>
        <w:t>7. Ответственность сторон</w:t>
      </w:r>
    </w:p>
    <w:p>
      <w:pPr>
        <w:pStyle w:val="Normal"/>
        <w:rPr>
          <w:rFonts w:ascii="Times New Roman" w:hAnsi="Times New Roman"/>
        </w:rPr>
      </w:pPr>
      <w:r>
        <w:rPr>
          <w:rFonts w:ascii="Times New Roman" w:hAnsi="Times New Roman"/>
        </w:rPr>
        <w:t>7.1. Стороны несут ответственность в соответствии с законодательством Российской Федерации и настоящим договором.</w:t>
      </w:r>
    </w:p>
    <w:p>
      <w:pPr>
        <w:pStyle w:val="Normal"/>
        <w:rPr>
          <w:rFonts w:ascii="Times New Roman" w:hAnsi="Times New Roman"/>
        </w:rPr>
      </w:pPr>
      <w:r>
        <w:rPr>
          <w:rFonts w:ascii="Times New Roman" w:hAnsi="Times New Roman"/>
        </w:rPr>
        <w:t>7.2 Товарищество не несет ответственности за перебои подачи воды, ухудшение напора либо временное прекращение водоснабжения, возникшие вследствие аварий, проведения ремонтных работ, прекращения электроснабжения, действий третьих лиц, природных явлений, обстоятельств непреодолимой силы, снижения дебита скважины, а также иных обстоятельств, не зависящих от Товарищества.</w:t>
      </w:r>
    </w:p>
    <w:p>
      <w:pPr>
        <w:pStyle w:val="Normal"/>
        <w:rPr>
          <w:rFonts w:ascii="Times New Roman" w:hAnsi="Times New Roman"/>
        </w:rPr>
      </w:pPr>
      <w:r>
        <w:rPr>
          <w:rFonts w:ascii="Times New Roman" w:hAnsi="Times New Roman"/>
        </w:rPr>
        <w:t>7.3 Пользователь обязан возместить Товариществу убытки, причиненные Системе водоснабжения вследствие самовольного подключения к Системе водоснабжения, передачи воды третьим лицам без согласия Товарищества, предоставления возможности подключения третьих лиц через принадлежащее Пользователю подключение, вмешательства в работу оборудования и объектов Системы водоснабжения, изменения схемы подключения, нарушения технических требований эксплуатации Системы водоснабжения.</w:t>
      </w:r>
    </w:p>
    <w:p>
      <w:pPr>
        <w:pStyle w:val="Normal"/>
        <w:rPr>
          <w:rFonts w:ascii="Times New Roman" w:hAnsi="Times New Roman"/>
        </w:rPr>
      </w:pPr>
      <w:r>
        <w:rPr>
          <w:rFonts w:ascii="Times New Roman" w:hAnsi="Times New Roman"/>
        </w:rPr>
        <w:t>7.4. Лицо, осуществившее самовольное подключение, а также Пользователь, допустивший такое подключение либо способствовавший несанкционированному пользованию Системой водоснабжения, несут ответственность солидарно.</w:t>
      </w:r>
    </w:p>
    <w:p>
      <w:pPr>
        <w:pStyle w:val="Normal"/>
        <w:rPr>
          <w:rFonts w:ascii="Times New Roman" w:hAnsi="Times New Roman"/>
        </w:rPr>
      </w:pPr>
      <w:r>
        <w:rPr>
          <w:rFonts w:ascii="Times New Roman" w:hAnsi="Times New Roman"/>
        </w:rPr>
        <w:t>7.5. В случае выявления нарушений, предусмотренных пунктом 7.3 настоящего договора, Товарищество вправе ограничить либо прекратить подачу воды до полного устранения нарушения и возмещения причиненных убытков.</w:t>
      </w:r>
    </w:p>
    <w:p>
      <w:pPr>
        <w:pStyle w:val="Heading1"/>
        <w:rPr>
          <w:rFonts w:ascii="Times New Roman" w:hAnsi="Times New Roman"/>
        </w:rPr>
      </w:pPr>
      <w:bookmarkStart w:id="9" w:name="_5ls222b9eqb7"/>
      <w:bookmarkEnd w:id="9"/>
      <w:r>
        <w:rPr>
          <w:rFonts w:ascii="Times New Roman" w:hAnsi="Times New Roman"/>
        </w:rPr>
        <w:t>8. Срок действия договора</w:t>
      </w:r>
    </w:p>
    <w:p>
      <w:pPr>
        <w:pStyle w:val="Normal"/>
        <w:spacing w:lineRule="auto" w:line="240"/>
        <w:rPr>
          <w:rFonts w:ascii="Times New Roman" w:hAnsi="Times New Roman"/>
        </w:rPr>
      </w:pPr>
      <w:r>
        <w:rPr>
          <w:rFonts w:ascii="Times New Roman" w:hAnsi="Times New Roman"/>
        </w:rPr>
        <w:t>8.1. Настоящий договор вступает в силу с момента его подписания и заключается сроком на один календарный год.</w:t>
      </w:r>
    </w:p>
    <w:p>
      <w:pPr>
        <w:pStyle w:val="Normal"/>
        <w:spacing w:lineRule="auto" w:line="240"/>
        <w:rPr>
          <w:rFonts w:ascii="Times New Roman" w:hAnsi="Times New Roman"/>
        </w:rPr>
      </w:pPr>
      <w:r>
        <w:rPr>
          <w:rFonts w:ascii="Times New Roman" w:hAnsi="Times New Roman"/>
        </w:rPr>
        <w:t>8.2. Если ни одна из Сторон не заявит о прекращении договора не позднее чем за 30 календарных дней до окончания срока его действия, договор считается продленным на следующий календарный год на тех же условиях.</w:t>
      </w:r>
    </w:p>
    <w:p>
      <w:pPr>
        <w:pStyle w:val="Heading1"/>
        <w:rPr>
          <w:rFonts w:ascii="Times New Roman" w:hAnsi="Times New Roman"/>
        </w:rPr>
      </w:pPr>
      <w:bookmarkStart w:id="10" w:name="_5nrz5eq5cqk1"/>
      <w:bookmarkEnd w:id="10"/>
      <w:r>
        <w:rPr>
          <w:rFonts w:ascii="Times New Roman" w:hAnsi="Times New Roman"/>
        </w:rPr>
        <w:t>9. Заключительные положения</w:t>
      </w:r>
    </w:p>
    <w:p>
      <w:pPr>
        <w:pStyle w:val="Normal"/>
        <w:spacing w:lineRule="auto" w:line="240"/>
        <w:rPr>
          <w:rFonts w:ascii="Times New Roman" w:hAnsi="Times New Roman"/>
        </w:rPr>
      </w:pPr>
      <w:r>
        <w:rPr>
          <w:rFonts w:ascii="Times New Roman" w:hAnsi="Times New Roman"/>
        </w:rPr>
        <w:t>9.1. Все споры и разногласия подлежат разрешению путем переговоров, а при недостижении соглашения – в судебном порядке в соответствии с правилами подсудности, установленными законодательством Российской Федерации.</w:t>
      </w:r>
    </w:p>
    <w:p>
      <w:pPr>
        <w:pStyle w:val="Normal"/>
        <w:spacing w:lineRule="auto" w:line="240"/>
        <w:rPr>
          <w:rFonts w:ascii="Times New Roman" w:hAnsi="Times New Roman"/>
        </w:rPr>
      </w:pPr>
      <w:r>
        <w:rPr>
          <w:rFonts w:ascii="Times New Roman" w:hAnsi="Times New Roman"/>
        </w:rPr>
        <w:t>9.2. Неотъемлемыми приложениями к настоящему договору являются:</w:t>
      </w:r>
    </w:p>
    <w:p>
      <w:pPr>
        <w:pStyle w:val="Normal"/>
        <w:spacing w:lineRule="auto" w:line="240"/>
        <w:ind w:firstLine="720" w:start="720"/>
        <w:rPr>
          <w:rFonts w:ascii="Times New Roman" w:hAnsi="Times New Roman"/>
        </w:rPr>
      </w:pPr>
      <w:r>
        <w:rPr>
          <w:rFonts w:ascii="Times New Roman" w:hAnsi="Times New Roman"/>
        </w:rPr>
        <w:t>Приложение 1. Схема подключения.</w:t>
      </w:r>
    </w:p>
    <w:p>
      <w:pPr>
        <w:pStyle w:val="Normal"/>
        <w:spacing w:lineRule="auto" w:line="240"/>
        <w:ind w:firstLine="720" w:start="720"/>
        <w:rPr>
          <w:rFonts w:ascii="Times New Roman" w:hAnsi="Times New Roman"/>
        </w:rPr>
      </w:pPr>
      <w:r>
        <w:rPr>
          <w:rFonts w:ascii="Times New Roman" w:hAnsi="Times New Roman"/>
        </w:rPr>
        <w:t>Приложение 2. Правила эксплуатации Системы водоснабжения.</w:t>
      </w:r>
    </w:p>
    <w:p>
      <w:pPr>
        <w:pStyle w:val="Heading1"/>
        <w:rPr>
          <w:rFonts w:ascii="Times New Roman" w:hAnsi="Times New Roman"/>
        </w:rPr>
      </w:pPr>
      <w:bookmarkStart w:id="11" w:name="_yfshg1ps9p2c"/>
      <w:bookmarkEnd w:id="11"/>
      <w:r>
        <w:rPr>
          <w:rFonts w:ascii="Times New Roman" w:hAnsi="Times New Roman"/>
        </w:rPr>
        <w:t>10. Реквизиты сторон</w:t>
      </w:r>
    </w:p>
    <w:tbl>
      <w:tblPr>
        <w:tblStyle w:val="a6"/>
        <w:tblW w:w="9678"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4839"/>
        <w:gridCol w:w="4839"/>
      </w:tblGrid>
      <w:tr>
        <w:trPr>
          <w:trHeight w:val="726" w:hRule="atLeast"/>
        </w:trPr>
        <w:tc>
          <w:tcPr>
            <w:tcW w:w="4839" w:type="dxa"/>
            <w:tcBorders/>
          </w:tcPr>
          <w:p>
            <w:pPr>
              <w:pStyle w:val="Normal"/>
              <w:widowControl w:val="false"/>
              <w:pBdr/>
              <w:spacing w:lineRule="auto" w:line="240"/>
              <w:ind w:hanging="0"/>
              <w:jc w:val="start"/>
              <w:rPr>
                <w:rFonts w:ascii="Times New Roman" w:hAnsi="Times New Roman"/>
              </w:rPr>
            </w:pPr>
            <w:r>
              <w:rPr>
                <w:rFonts w:ascii="Times New Roman" w:hAnsi="Times New Roman"/>
                <w:b/>
                <w:bCs/>
              </w:rPr>
              <w:t>Председатель садоводческого некоммерческого товарищества «Васкелово-Телевидение»</w:t>
            </w:r>
          </w:p>
        </w:tc>
        <w:tc>
          <w:tcPr>
            <w:tcW w:w="4839" w:type="dxa"/>
            <w:tcBorders/>
          </w:tcPr>
          <w:p>
            <w:pPr>
              <w:pStyle w:val="Normal"/>
              <w:widowControl w:val="false"/>
              <w:pBdr/>
              <w:spacing w:lineRule="auto" w:line="240"/>
              <w:ind w:hanging="0"/>
              <w:jc w:val="start"/>
              <w:rPr>
                <w:rFonts w:ascii="Times New Roman" w:hAnsi="Times New Roman"/>
              </w:rPr>
            </w:pPr>
            <w:r>
              <w:rPr>
                <w:rFonts w:ascii="Times New Roman" w:hAnsi="Times New Roman"/>
                <w:b/>
                <w:bCs/>
              </w:rPr>
              <w:t>Пользователь</w:t>
            </w:r>
          </w:p>
          <w:p>
            <w:pPr>
              <w:pStyle w:val="Normal"/>
              <w:widowControl w:val="false"/>
              <w:pBdr/>
              <w:spacing w:lineRule="auto" w:line="240"/>
              <w:ind w:hanging="0"/>
              <w:jc w:val="start"/>
              <w:rPr>
                <w:rFonts w:ascii="Times New Roman" w:hAnsi="Times New Roman"/>
              </w:rPr>
            </w:pPr>
            <w:r>
              <w:rPr>
                <w:rFonts w:ascii="Times New Roman" w:hAnsi="Times New Roman"/>
                <w:b/>
                <w:bCs/>
              </w:rPr>
              <w:t>Ф.И.О.______________________________</w:t>
            </w:r>
          </w:p>
        </w:tc>
      </w:tr>
      <w:tr>
        <w:trPr>
          <w:trHeight w:val="3830" w:hRule="atLeast"/>
        </w:trPr>
        <w:tc>
          <w:tcPr>
            <w:tcW w:w="4839" w:type="dxa"/>
            <w:tcBorders/>
          </w:tcPr>
          <w:p>
            <w:pPr>
              <w:pStyle w:val="Normal"/>
              <w:widowControl w:val="false"/>
              <w:pBdr/>
              <w:spacing w:lineRule="auto" w:line="240"/>
              <w:ind w:hanging="0"/>
              <w:jc w:val="start"/>
              <w:rPr>
                <w:rFonts w:ascii="Times New Roman" w:hAnsi="Times New Roman"/>
              </w:rPr>
            </w:pPr>
            <w:r>
              <w:rPr>
                <w:rFonts w:ascii="Times New Roman" w:hAnsi="Times New Roman"/>
              </w:rPr>
              <w:t>Адрес: 188640, Ленинградская область,</w:t>
            </w:r>
          </w:p>
          <w:p>
            <w:pPr>
              <w:pStyle w:val="Normal"/>
              <w:widowControl w:val="false"/>
              <w:pBdr/>
              <w:spacing w:lineRule="auto" w:line="240"/>
              <w:ind w:hanging="0"/>
              <w:jc w:val="start"/>
              <w:rPr>
                <w:rFonts w:ascii="Times New Roman" w:hAnsi="Times New Roman"/>
              </w:rPr>
            </w:pPr>
            <w:r>
              <w:rPr>
                <w:rFonts w:ascii="Times New Roman" w:hAnsi="Times New Roman"/>
              </w:rPr>
              <w:t>Всеволожский район, массив Васкелово,</w:t>
            </w:r>
          </w:p>
          <w:p>
            <w:pPr>
              <w:pStyle w:val="Normal"/>
              <w:widowControl w:val="false"/>
              <w:pBdr/>
              <w:spacing w:lineRule="auto" w:line="240"/>
              <w:ind w:hanging="0"/>
              <w:jc w:val="start"/>
              <w:rPr>
                <w:rFonts w:ascii="Times New Roman" w:hAnsi="Times New Roman"/>
              </w:rPr>
            </w:pPr>
            <w:r>
              <w:rPr>
                <w:rFonts w:ascii="Times New Roman" w:hAnsi="Times New Roman"/>
              </w:rPr>
              <w:t>Территория СНТ «Васкелово-Телевидение»,</w:t>
            </w:r>
          </w:p>
          <w:p>
            <w:pPr>
              <w:pStyle w:val="Normal"/>
              <w:widowControl w:val="false"/>
              <w:pBdr/>
              <w:spacing w:lineRule="auto" w:line="240"/>
              <w:ind w:hanging="0"/>
              <w:jc w:val="start"/>
              <w:rPr>
                <w:rFonts w:ascii="Times New Roman" w:hAnsi="Times New Roman"/>
              </w:rPr>
            </w:pPr>
            <w:r>
              <w:rPr>
                <w:rFonts w:ascii="Times New Roman" w:hAnsi="Times New Roman"/>
              </w:rPr>
              <w:t>Расчетный счет 40703810317139000012</w:t>
            </w:r>
          </w:p>
          <w:p>
            <w:pPr>
              <w:pStyle w:val="Normal"/>
              <w:widowControl w:val="false"/>
              <w:pBdr/>
              <w:spacing w:lineRule="auto" w:line="240"/>
              <w:ind w:hanging="0"/>
              <w:jc w:val="start"/>
              <w:rPr>
                <w:rFonts w:ascii="Times New Roman" w:hAnsi="Times New Roman"/>
              </w:rPr>
            </w:pPr>
            <w:r>
              <w:rPr>
                <w:rFonts w:ascii="Times New Roman" w:hAnsi="Times New Roman"/>
              </w:rPr>
              <w:t>ИНН садоводства 4703027966</w:t>
            </w:r>
          </w:p>
          <w:p>
            <w:pPr>
              <w:pStyle w:val="Normal"/>
              <w:widowControl w:val="false"/>
              <w:spacing w:lineRule="auto" w:line="240"/>
              <w:ind w:hanging="0"/>
              <w:jc w:val="start"/>
              <w:rPr>
                <w:rFonts w:ascii="Times New Roman" w:hAnsi="Times New Roman"/>
              </w:rPr>
            </w:pPr>
            <w:r>
              <w:rPr>
                <w:rFonts w:ascii="Times New Roman" w:hAnsi="Times New Roman"/>
              </w:rPr>
              <w:t>БИК банка 044525411 банк ВТБ (ПАО)</w:t>
            </w:r>
          </w:p>
          <w:p>
            <w:pPr>
              <w:pStyle w:val="Normal"/>
              <w:widowControl w:val="false"/>
              <w:pBdr/>
              <w:spacing w:lineRule="auto" w:line="240"/>
              <w:ind w:hanging="0"/>
              <w:jc w:val="start"/>
              <w:rPr>
                <w:rFonts w:ascii="Times New Roman" w:hAnsi="Times New Roman"/>
              </w:rPr>
            </w:pPr>
            <w:r>
              <w:rPr>
                <w:rFonts w:ascii="Times New Roman" w:hAnsi="Times New Roman"/>
              </w:rPr>
              <w:t>ИНН банка 7702070139</w:t>
            </w:r>
          </w:p>
          <w:p>
            <w:pPr>
              <w:pStyle w:val="Normal"/>
              <w:widowControl w:val="false"/>
              <w:pBdr/>
              <w:spacing w:lineRule="auto" w:line="240"/>
              <w:ind w:hanging="0"/>
              <w:jc w:val="start"/>
              <w:rPr>
                <w:rFonts w:ascii="Times New Roman" w:hAnsi="Times New Roman"/>
              </w:rPr>
            </w:pPr>
            <w:r>
              <w:rPr>
                <w:rFonts w:ascii="Times New Roman" w:hAnsi="Times New Roman"/>
              </w:rPr>
              <w:t>КПП банка 770943002</w:t>
            </w:r>
          </w:p>
          <w:p>
            <w:pPr>
              <w:pStyle w:val="Normal"/>
              <w:widowControl w:val="false"/>
              <w:pBdr/>
              <w:spacing w:lineRule="auto" w:line="240"/>
              <w:ind w:hanging="0"/>
              <w:jc w:val="start"/>
              <w:rPr>
                <w:rFonts w:ascii="Times New Roman" w:hAnsi="Times New Roman"/>
              </w:rPr>
            </w:pPr>
            <w:r>
              <w:rPr>
                <w:rFonts w:ascii="Times New Roman" w:hAnsi="Times New Roman"/>
              </w:rPr>
              <w:t>Кор/счет банка 30101810145250000411</w:t>
            </w:r>
          </w:p>
          <w:p>
            <w:pPr>
              <w:pStyle w:val="Normal"/>
              <w:widowControl w:val="false"/>
              <w:pBdr/>
              <w:spacing w:lineRule="auto" w:line="240"/>
              <w:ind w:hanging="0"/>
              <w:jc w:val="start"/>
              <w:rPr>
                <w:rFonts w:ascii="Times New Roman" w:hAnsi="Times New Roman"/>
                <w:b/>
                <w:bCs/>
              </w:rPr>
            </w:pPr>
            <w:r>
              <w:rPr>
                <w:rFonts w:ascii="Times New Roman" w:hAnsi="Times New Roman"/>
                <w:b/>
                <w:bCs/>
              </w:rPr>
            </w:r>
          </w:p>
          <w:p>
            <w:pPr>
              <w:pStyle w:val="Normal"/>
              <w:widowControl w:val="false"/>
              <w:pBdr/>
              <w:spacing w:lineRule="auto" w:line="240"/>
              <w:ind w:hanging="0"/>
              <w:jc w:val="start"/>
              <w:rPr>
                <w:rFonts w:ascii="Times New Roman" w:hAnsi="Times New Roman"/>
              </w:rPr>
            </w:pPr>
            <w:r>
              <w:rPr>
                <w:rFonts w:ascii="Times New Roman" w:hAnsi="Times New Roman"/>
                <w:b/>
                <w:bCs/>
              </w:rPr>
              <w:t>Председатель СНТ «Васкелово-Телевидение»</w:t>
            </w:r>
          </w:p>
          <w:p>
            <w:pPr>
              <w:pStyle w:val="Normal"/>
              <w:widowControl w:val="false"/>
              <w:pBdr/>
              <w:spacing w:lineRule="auto" w:line="240"/>
              <w:ind w:hanging="0"/>
              <w:jc w:val="start"/>
              <w:rPr>
                <w:rFonts w:ascii="Times New Roman" w:hAnsi="Times New Roman"/>
                <w:b/>
                <w:bCs/>
              </w:rPr>
            </w:pPr>
            <w:r>
              <w:rPr>
                <w:rFonts w:ascii="Times New Roman" w:hAnsi="Times New Roman"/>
                <w:b/>
                <w:bCs/>
              </w:rPr>
            </w:r>
          </w:p>
          <w:p>
            <w:pPr>
              <w:pStyle w:val="Normal"/>
              <w:widowControl w:val="false"/>
              <w:pBdr/>
              <w:spacing w:lineRule="auto" w:line="240"/>
              <w:ind w:hanging="0"/>
              <w:jc w:val="start"/>
              <w:rPr>
                <w:rFonts w:ascii="Times New Roman" w:hAnsi="Times New Roman"/>
              </w:rPr>
            </w:pPr>
            <w:r>
              <w:rPr>
                <w:rFonts w:ascii="Times New Roman" w:hAnsi="Times New Roman"/>
              </w:rPr>
              <w:t>_____________________/Григорьев А.В.</w:t>
            </w:r>
          </w:p>
        </w:tc>
        <w:tc>
          <w:tcPr>
            <w:tcW w:w="4839" w:type="dxa"/>
            <w:tcBorders/>
          </w:tcPr>
          <w:p>
            <w:pPr>
              <w:pStyle w:val="Normal"/>
              <w:widowControl w:val="false"/>
              <w:pBdr/>
              <w:spacing w:lineRule="auto" w:line="240"/>
              <w:ind w:hanging="0"/>
              <w:jc w:val="start"/>
              <w:rPr>
                <w:rFonts w:ascii="Times New Roman" w:hAnsi="Times New Roman"/>
              </w:rPr>
            </w:pPr>
            <w:r>
              <w:rPr>
                <w:rFonts w:ascii="Times New Roman" w:hAnsi="Times New Roman"/>
              </w:rPr>
              <w:t>Паспорт: серия ______ № ______, выдан ________________________________</w:t>
            </w:r>
          </w:p>
          <w:p>
            <w:pPr>
              <w:pStyle w:val="Normal"/>
              <w:widowControl w:val="false"/>
              <w:pBdr/>
              <w:spacing w:lineRule="auto" w:line="240"/>
              <w:ind w:hanging="0"/>
              <w:jc w:val="start"/>
              <w:rPr>
                <w:rFonts w:ascii="Times New Roman" w:hAnsi="Times New Roman"/>
              </w:rPr>
            </w:pPr>
            <w:r>
              <w:rPr>
                <w:rFonts w:ascii="Times New Roman" w:hAnsi="Times New Roman"/>
              </w:rPr>
              <w:t>Дата выдачи: «___» __________ ______г.</w:t>
            </w:r>
          </w:p>
          <w:p>
            <w:pPr>
              <w:pStyle w:val="Normal"/>
              <w:widowControl w:val="false"/>
              <w:pBdr/>
              <w:spacing w:lineRule="auto" w:line="240"/>
              <w:ind w:hanging="0"/>
              <w:jc w:val="start"/>
              <w:rPr>
                <w:rFonts w:ascii="Times New Roman" w:hAnsi="Times New Roman"/>
              </w:rPr>
            </w:pPr>
            <w:r>
              <w:rPr>
                <w:rFonts w:ascii="Times New Roman" w:hAnsi="Times New Roman"/>
              </w:rPr>
              <w:t>Код подразделения: _______________</w:t>
            </w:r>
          </w:p>
          <w:p>
            <w:pPr>
              <w:pStyle w:val="Normal"/>
              <w:widowControl w:val="false"/>
              <w:pBdr/>
              <w:spacing w:lineRule="auto" w:line="240"/>
              <w:ind w:hanging="0"/>
              <w:jc w:val="start"/>
              <w:rPr>
                <w:rFonts w:ascii="Times New Roman" w:hAnsi="Times New Roman"/>
              </w:rPr>
            </w:pPr>
            <w:r>
              <w:rPr>
                <w:rFonts w:ascii="Times New Roman" w:hAnsi="Times New Roman"/>
              </w:rPr>
              <w:t>Адрес регистрации: ______________________________________</w:t>
            </w:r>
          </w:p>
          <w:p>
            <w:pPr>
              <w:pStyle w:val="Normal"/>
              <w:widowControl w:val="false"/>
              <w:pBdr/>
              <w:spacing w:lineRule="auto" w:line="240"/>
              <w:ind w:hanging="0"/>
              <w:jc w:val="start"/>
              <w:rPr>
                <w:rFonts w:ascii="Times New Roman" w:hAnsi="Times New Roman"/>
              </w:rPr>
            </w:pPr>
            <w:r>
              <w:rPr>
                <w:rFonts w:ascii="Times New Roman" w:hAnsi="Times New Roman"/>
              </w:rPr>
              <w:t>ИНН: ____________________</w:t>
            </w:r>
          </w:p>
          <w:p>
            <w:pPr>
              <w:pStyle w:val="Normal"/>
              <w:widowControl w:val="false"/>
              <w:pBdr/>
              <w:spacing w:lineRule="auto" w:line="240"/>
              <w:ind w:hanging="0"/>
              <w:jc w:val="start"/>
              <w:rPr>
                <w:rFonts w:ascii="Times New Roman" w:hAnsi="Times New Roman"/>
              </w:rPr>
            </w:pPr>
            <w:r>
              <w:rPr>
                <w:rFonts w:ascii="Times New Roman" w:hAnsi="Times New Roman"/>
              </w:rPr>
              <w:t>Телефон: ____________________</w:t>
            </w:r>
          </w:p>
          <w:p>
            <w:pPr>
              <w:pStyle w:val="Normal"/>
              <w:widowControl w:val="false"/>
              <w:pBdr/>
              <w:spacing w:lineRule="auto" w:line="240"/>
              <w:ind w:hanging="0"/>
              <w:jc w:val="start"/>
              <w:rPr>
                <w:rFonts w:ascii="Times New Roman" w:hAnsi="Times New Roman"/>
              </w:rPr>
            </w:pPr>
            <w:r>
              <w:rPr>
                <w:rFonts w:ascii="Times New Roman" w:hAnsi="Times New Roman"/>
              </w:rPr>
              <w:t>Электронная почта: ____________________</w:t>
            </w:r>
          </w:p>
          <w:p>
            <w:pPr>
              <w:pStyle w:val="Normal"/>
              <w:widowControl w:val="false"/>
              <w:pBdr/>
              <w:spacing w:lineRule="auto" w:line="240"/>
              <w:ind w:hanging="0"/>
              <w:jc w:val="start"/>
              <w:rPr>
                <w:rFonts w:ascii="Times New Roman" w:hAnsi="Times New Roman"/>
                <w:b/>
                <w:bCs/>
              </w:rPr>
            </w:pPr>
            <w:r>
              <w:rPr>
                <w:rFonts w:ascii="Times New Roman" w:hAnsi="Times New Roman"/>
                <w:b/>
                <w:bCs/>
              </w:rPr>
            </w:r>
          </w:p>
          <w:p>
            <w:pPr>
              <w:pStyle w:val="Normal"/>
              <w:widowControl w:val="false"/>
              <w:pBdr/>
              <w:spacing w:lineRule="auto" w:line="240"/>
              <w:ind w:hanging="0"/>
              <w:jc w:val="start"/>
              <w:rPr>
                <w:rFonts w:ascii="Times New Roman" w:hAnsi="Times New Roman"/>
              </w:rPr>
            </w:pPr>
            <w:r>
              <w:rPr>
                <w:rFonts w:ascii="Times New Roman" w:hAnsi="Times New Roman"/>
                <w:b/>
                <w:bCs/>
              </w:rPr>
              <w:t>Пользователь</w:t>
            </w:r>
          </w:p>
          <w:p>
            <w:pPr>
              <w:pStyle w:val="Normal"/>
              <w:widowControl w:val="false"/>
              <w:pBdr/>
              <w:spacing w:lineRule="auto" w:line="240"/>
              <w:ind w:hanging="0"/>
              <w:jc w:val="start"/>
              <w:rPr>
                <w:rFonts w:ascii="Times New Roman" w:hAnsi="Times New Roman"/>
              </w:rPr>
            </w:pPr>
            <w:r>
              <w:rPr>
                <w:rFonts w:ascii="Times New Roman" w:hAnsi="Times New Roman"/>
              </w:rPr>
            </w:r>
          </w:p>
          <w:p>
            <w:pPr>
              <w:pStyle w:val="Normal"/>
              <w:widowControl w:val="false"/>
              <w:pBdr/>
              <w:spacing w:lineRule="auto" w:line="240"/>
              <w:ind w:hanging="0"/>
              <w:jc w:val="start"/>
              <w:rPr>
                <w:rFonts w:ascii="Times New Roman" w:hAnsi="Times New Roman"/>
              </w:rPr>
            </w:pPr>
            <w:r>
              <w:rPr>
                <w:rFonts w:ascii="Times New Roman" w:hAnsi="Times New Roman"/>
              </w:rPr>
            </w:r>
          </w:p>
          <w:p>
            <w:pPr>
              <w:pStyle w:val="Normal"/>
              <w:widowControl w:val="false"/>
              <w:pBdr/>
              <w:spacing w:lineRule="auto" w:line="240"/>
              <w:ind w:hanging="0"/>
              <w:jc w:val="start"/>
              <w:rPr>
                <w:rFonts w:ascii="Times New Roman" w:hAnsi="Times New Roman"/>
              </w:rPr>
            </w:pPr>
            <w:r>
              <w:rPr>
                <w:rFonts w:ascii="Times New Roman" w:hAnsi="Times New Roman"/>
              </w:rPr>
              <w:t>_____________ /______________________</w:t>
            </w:r>
          </w:p>
          <w:p>
            <w:pPr>
              <w:pStyle w:val="Normal"/>
              <w:widowControl w:val="false"/>
              <w:pBdr/>
              <w:spacing w:lineRule="auto" w:line="240"/>
              <w:ind w:hanging="0"/>
              <w:jc w:val="start"/>
              <w:rPr>
                <w:rFonts w:ascii="Times New Roman" w:hAnsi="Times New Roman"/>
              </w:rPr>
            </w:pPr>
            <w:r>
              <w:rPr>
                <w:rFonts w:ascii="Times New Roman" w:hAnsi="Times New Roman"/>
              </w:rPr>
            </w:r>
          </w:p>
        </w:tc>
      </w:tr>
    </w:tbl>
    <w:p>
      <w:pPr>
        <w:pStyle w:val="Normal"/>
        <w:spacing w:lineRule="auto" w:line="240"/>
        <w:ind w:hanging="0"/>
        <w:rPr>
          <w:rFonts w:ascii="Times New Roman" w:hAnsi="Times New Roman"/>
          <w:lang w:val="ru-RU"/>
        </w:rPr>
      </w:pPr>
      <w:r>
        <w:rPr>
          <w:rFonts w:ascii="Times New Roman" w:hAnsi="Times New Roman"/>
          <w:lang w:val="ru-RU"/>
        </w:rPr>
      </w:r>
    </w:p>
    <w:sectPr>
      <w:headerReference w:type="even" r:id="rId2"/>
      <w:headerReference w:type="first" r:id="rId3"/>
      <w:footerReference w:type="even" r:id="rId4"/>
      <w:footerReference w:type="default" r:id="rId5"/>
      <w:footerReference w:type="first" r:id="rId6"/>
      <w:type w:val="nextPage"/>
      <w:pgSz w:w="11906" w:h="16838"/>
      <w:pgMar w:left="1134" w:right="1134" w:gutter="0" w:header="0" w:top="1134" w:footer="1134" w:bottom="16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characterSet="windows-125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1"/>
    <w:family w:val="roman"/>
    <w:pitch w:val="default"/>
    <w:embedRegular r:id="rId14" w:fontKey="{0E014A78-CABC-4EF0-12AC-5CD89AEFDE0E}"/>
    <w:embedBold r:id="rId15" w:fontKey="{0F014A78-CABC-4EF0-12AC-5CD89AEFDE0F}"/>
    <w:embedItalic r:id="rId16" w:fontKey="{10014A78-CABC-4EF0-12AC-5CD89AEFDE10}"/>
  </w:font>
  <w:font w:name="Times New Roman">
    <w:charset w:val="01"/>
    <w:family w:val="roman"/>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 w:name="Arial">
    <w:charset w:val="01"/>
    <w:family w:val="swiss"/>
    <w:pitch w:val="default"/>
    <w:embedRegular r:id="rId21" w:fontKey="{15014A78-CABC-4EF0-12AC-5CD89AEFDE15}"/>
    <w:embedBold r:id="rId22" w:fontKey="{16014A78-CABC-4EF0-12AC-5CD89AEFDE16}"/>
    <w:embedItalic r:id="rId23" w:fontKey="{17014A78-CABC-4EF0-12AC-5CD89AEFDE17}"/>
    <w:embedBoldItalic r:id="rId24" w:fontKey="{18014A78-CABC-4EF0-12AC-5CD89AEFDE18}"/>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firstLine="720" w:end="360"/>
      <w:rPr/>
    </w:pPr>
    <w:r>
      <w:rPr/>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14605" cy="14605"/>
              <wp:effectExtent l="0" t="0" r="0" b="0"/>
              <wp:wrapNone/>
              <wp:docPr id="1" name="Врезка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sdt>
                          <w:sdtPr>
                            <w:id w:val="-1868448470"/>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sdt>
                    <w:sdtPr>
                      <w:id w:val="-1868448470"/>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12" w:name="PageNumWizard_FOOTER_Базовый1"/>
    <w:r>
      <w:rPr/>
      <w:fldChar w:fldCharType="begin"/>
    </w:r>
    <w:r>
      <w:rPr/>
      <w:instrText xml:space="preserve"> PAGE </w:instrText>
    </w:r>
    <w:r>
      <w:rPr/>
      <w:fldChar w:fldCharType="separate"/>
    </w:r>
    <w:r>
      <w:rPr/>
      <w:t>5</w:t>
    </w:r>
    <w:r>
      <w:rPr/>
      <w:fldChar w:fldCharType="end"/>
    </w:r>
    <w:bookmarkEnd w:id="12"/>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13" w:name="PageNumWizard_FOOTER_Базовый1"/>
    <w:r>
      <w:rPr/>
      <w:fldChar w:fldCharType="begin"/>
    </w:r>
    <w:r>
      <w:rPr/>
      <w:instrText xml:space="preserve"> PAGE </w:instrText>
    </w:r>
    <w:r>
      <w:rPr/>
      <w:fldChar w:fldCharType="separate"/>
    </w:r>
    <w:r>
      <w:rPr/>
      <w:t>5</w:t>
    </w:r>
    <w:r>
      <w:rPr/>
      <w:fldChar w:fldCharType="end"/>
    </w:r>
    <w:bookmarkEnd w:id="13"/>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4"/>
        <w:szCs w:val="24"/>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76" w:before="0" w:after="0"/>
      <w:ind w:firstLine="720"/>
      <w:jc w:val="both"/>
    </w:pPr>
    <w:rPr>
      <w:rFonts w:ascii="Garamond" w:hAnsi="Garamond" w:eastAsia="Garamond" w:cs="Garamond"/>
      <w:color w:val="auto"/>
      <w:kern w:val="0"/>
      <w:sz w:val="24"/>
      <w:szCs w:val="24"/>
      <w:lang w:val="ru-RU" w:eastAsia="ru-RU" w:bidi="ar-SA"/>
    </w:rPr>
  </w:style>
  <w:style w:type="paragraph" w:styleId="Heading1">
    <w:name w:val="heading 1"/>
    <w:basedOn w:val="Normal"/>
    <w:next w:val="Normal"/>
    <w:uiPriority w:val="9"/>
    <w:qFormat/>
    <w:pPr>
      <w:keepNext w:val="true"/>
      <w:keepLines/>
      <w:spacing w:lineRule="auto" w:line="240" w:before="120" w:after="120"/>
      <w:ind w:hanging="0"/>
      <w:jc w:val="center"/>
      <w:outlineLvl w:val="0"/>
    </w:pPr>
    <w:rPr>
      <w:b/>
      <w:bCs/>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rPr>
  </w:style>
  <w:style w:type="paragraph" w:styleId="Heading5">
    <w:name w:val="heading 5"/>
    <w:basedOn w:val="Normal"/>
    <w:next w:val="Normal"/>
    <w:uiPriority w:val="9"/>
    <w:semiHidden/>
    <w:unhideWhenUsed/>
    <w:qFormat/>
    <w:pPr>
      <w:keepNext w:val="true"/>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sz w:val="22"/>
      <w:szCs w:val="22"/>
    </w:rPr>
  </w:style>
  <w:style w:type="character" w:styleId="DefaultParagraphFont" w:default="1">
    <w:name w:val="Default Paragraph Font"/>
    <w:uiPriority w:val="1"/>
    <w:semiHidden/>
    <w:unhideWhenUsed/>
    <w:qFormat/>
    <w:rPr/>
  </w:style>
  <w:style w:type="character" w:styleId="Style8" w:customStyle="1">
    <w:name w:val="Верхний колонтитул Знак"/>
    <w:basedOn w:val="DefaultParagraphFont"/>
    <w:uiPriority w:val="99"/>
    <w:qFormat/>
    <w:rsid w:val="007b2b41"/>
    <w:rPr/>
  </w:style>
  <w:style w:type="character" w:styleId="Style9" w:customStyle="1">
    <w:name w:val="Нижний колонтитул Знак"/>
    <w:basedOn w:val="DefaultParagraphFont"/>
    <w:uiPriority w:val="99"/>
    <w:qFormat/>
    <w:rsid w:val="007b2b41"/>
    <w:rPr/>
  </w:style>
  <w:style w:type="character" w:styleId="PageNumber">
    <w:name w:val="page number"/>
    <w:basedOn w:val="DefaultParagraphFont"/>
    <w:uiPriority w:val="99"/>
    <w:semiHidden/>
    <w:unhideWhenUsed/>
    <w:rsid w:val="00324956"/>
    <w:rPr/>
  </w:style>
  <w:style w:type="paragraph" w:styleId="Style10">
    <w:name w:val="Заголовок"/>
    <w:basedOn w:val="Normal"/>
    <w:next w:val="BodyText"/>
    <w:qFormat/>
    <w:pPr>
      <w:keepNext w:val="true"/>
      <w:spacing w:before="240" w:after="120"/>
    </w:pPr>
    <w:rPr>
      <w:rFonts w:ascii="Times New Roman" w:hAnsi="Times New Roman"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Style11">
    <w:name w:val="Указатель"/>
    <w:basedOn w:val="Normal"/>
    <w:qFormat/>
    <w:pPr>
      <w:suppressLineNumbers/>
    </w:pPr>
    <w:rPr>
      <w:rFonts w:ascii="Times New Roman" w:hAnsi="Times New Roman"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rFonts w:ascii="Arial" w:hAnsi="Arial" w:eastAsia="Arial" w:cs="Arial"/>
      <w:color w:val="666666"/>
      <w:sz w:val="30"/>
      <w:szCs w:val="30"/>
    </w:rPr>
  </w:style>
  <w:style w:type="paragraph" w:styleId="Style12">
    <w:name w:val="Колонтитулы"/>
    <w:basedOn w:val="Normal"/>
    <w:qFormat/>
    <w:pPr/>
    <w:rPr/>
  </w:style>
  <w:style w:type="paragraph" w:styleId="Header">
    <w:name w:val="header"/>
    <w:basedOn w:val="Normal"/>
    <w:link w:val="Style8"/>
    <w:uiPriority w:val="99"/>
    <w:unhideWhenUsed/>
    <w:rsid w:val="007b2b41"/>
    <w:pPr>
      <w:tabs>
        <w:tab w:val="clear" w:pos="720"/>
        <w:tab w:val="center" w:pos="4677" w:leader="none"/>
        <w:tab w:val="right" w:pos="9355" w:leader="none"/>
      </w:tabs>
      <w:spacing w:lineRule="auto" w:line="240"/>
    </w:pPr>
    <w:rPr/>
  </w:style>
  <w:style w:type="paragraph" w:styleId="Footer">
    <w:name w:val="footer"/>
    <w:basedOn w:val="Normal"/>
    <w:link w:val="Style9"/>
    <w:uiPriority w:val="99"/>
    <w:unhideWhenUsed/>
    <w:rsid w:val="007b2b41"/>
    <w:pPr>
      <w:tabs>
        <w:tab w:val="clear" w:pos="720"/>
        <w:tab w:val="center" w:pos="4677" w:leader="none"/>
        <w:tab w:val="right" w:pos="9355" w:leader="none"/>
      </w:tabs>
      <w:spacing w:lineRule="auto" w:line="240"/>
    </w:pPr>
    <w:rPr/>
  </w:style>
  <w:style w:type="paragraph" w:styleId="Style13">
    <w:name w:val="Содержимое врезки"/>
    <w:basedOn w:val="Normal"/>
    <w:qFormat/>
    <w:pPr/>
    <w:rPr/>
  </w:style>
  <w:style w:type="numbering" w:styleId="Style14"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3</TotalTime>
  <Application>LibreOffice/25.8.6.2$Windows_X86_64 LibreOffice_project/b4b39682cd9868fa725bc664aff94278d315bd04</Application>
  <AppVersion>15.0000</AppVersion>
  <Pages>4</Pages>
  <Words>1796</Words>
  <Characters>10243</Characters>
  <CharactersWithSpaces>12015</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2026-05-22T17:04:00Z</dcterms:created>
  <dc:creator>Александр Григорьев</dc:creator>
  <dc:description/>
  <dc:language>ru-RU</dc:language>
  <cp:lastModifiedBy/>
  <dcterms:modified xsi:type="dcterms:W3CDTF">2026-06-11T10:52:53Z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